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5E" w:rsidRDefault="007C0533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val="es-AR"/>
        </w:rPr>
        <w:drawing>
          <wp:inline distT="0" distB="0" distL="0" distR="0">
            <wp:extent cx="5600700" cy="14859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775E" w:rsidRDefault="007C0533">
      <w:pPr>
        <w:spacing w:before="240" w:after="120"/>
      </w:pPr>
      <w:r>
        <w:t xml:space="preserve">Dirección General de Cultura y Educación </w:t>
      </w:r>
    </w:p>
    <w:p w:rsidR="0089775E" w:rsidRDefault="007C0533">
      <w:pPr>
        <w:spacing w:before="240" w:after="120"/>
      </w:pPr>
      <w:r>
        <w:t>Dirección de educación Técnica</w:t>
      </w:r>
    </w:p>
    <w:p w:rsidR="0089775E" w:rsidRDefault="007C0533">
      <w:pPr>
        <w:spacing w:before="240" w:after="120"/>
      </w:pPr>
      <w:r>
        <w:t xml:space="preserve"> Escuela de Educación Secundaria Técnica N°3 de tres de febrero </w:t>
      </w:r>
    </w:p>
    <w:p w:rsidR="0089775E" w:rsidRDefault="007C0533">
      <w:pPr>
        <w:spacing w:before="240" w:after="120"/>
      </w:pPr>
      <w:r>
        <w:t>Fundamentación:</w:t>
      </w:r>
    </w:p>
    <w:p w:rsidR="0089775E" w:rsidRDefault="007C0533">
      <w:pPr>
        <w:spacing w:before="240" w:after="120"/>
      </w:pPr>
      <w:r>
        <w:t>El Estado Nacional y provincial entiende a la Educación como bien social prioritario y la constituye en política de Estado asumiendo plenamente su obligación de garantizar las posibilidades de acceso, distribución y circulación del conocimiento, la producc</w:t>
      </w:r>
      <w:r>
        <w:t>ión y recreación de la cultura, así como la formación integral de todos los alumnos. Asimismo, la responsabilidad de planificar, organizar, supervisar y financiar el sistema educativo, garantizando el ejercicio de los derechos de aprender y de enseñar.</w:t>
      </w:r>
    </w:p>
    <w:p w:rsidR="0089775E" w:rsidRDefault="007C0533">
      <w:pPr>
        <w:spacing w:before="240" w:after="120"/>
      </w:pPr>
      <w:r>
        <w:t>Ent</w:t>
      </w:r>
      <w:r>
        <w:t>ender a la educación como derecho social implica entramar un acuerdo compartido entre quienes la desarrollan y quienes la requieren socialmente.</w:t>
      </w:r>
    </w:p>
    <w:p w:rsidR="0089775E" w:rsidRDefault="007C0533">
      <w:pPr>
        <w:spacing w:before="240" w:after="120"/>
      </w:pPr>
      <w:r>
        <w:t xml:space="preserve"> Para poder cumplir con los objetos de la política educativa, las escuelas hacia su interior deben revisar y re</w:t>
      </w:r>
      <w:r>
        <w:t>significar las prácticas institucionales para poder ser la escuela que la sociedad y los tiempos demandan y necesitan.</w:t>
      </w:r>
    </w:p>
    <w:p w:rsidR="0089775E" w:rsidRDefault="007C0533">
      <w:pPr>
        <w:spacing w:before="240" w:after="120"/>
      </w:pPr>
      <w:r>
        <w:t>Para poder ser una escuela que busca la inclusión y generar aprendizajes de calidad, entre otras cuestiones, necesita en este momento tra</w:t>
      </w:r>
      <w:r>
        <w:t>bajar con la comunidad en la constitución de un nosotros institucional que le permita dotar de sentidos propios a nuestra realidad escolar.</w:t>
      </w:r>
    </w:p>
    <w:p w:rsidR="0089775E" w:rsidRDefault="007C0533">
      <w:pPr>
        <w:spacing w:before="240" w:after="120"/>
      </w:pPr>
      <w:r>
        <w:t>La Provincia, a través de la Dirección General de Cultura y Educación, tiene la responsabilidad principal e indelega</w:t>
      </w:r>
      <w:r>
        <w:t xml:space="preserve">ble de proveer, garantizar y supervisar una educación integral, inclusiva, permanente y de calidad para todos sus habitantes, garantizando la igualdad, gratuidad y la justicia social en el ejercicio de este derecho, con la participación del conjunto de la </w:t>
      </w:r>
      <w:r>
        <w:t>comunidad educativa.</w:t>
      </w:r>
    </w:p>
    <w:p w:rsidR="0089775E" w:rsidRDefault="007C0533">
      <w:pPr>
        <w:spacing w:before="240" w:after="120"/>
      </w:pPr>
      <w:r>
        <w:lastRenderedPageBreak/>
        <w:t>La secundaria técnica obligatoria de 7 años cumple con la prolongación de la educación común, al tiempo que “reconoce a los adolescentes y jóvenes como sujetos de derecho y a sus prácticas culturales como parte constitutiva de las expe</w:t>
      </w:r>
      <w:r>
        <w:t>riencias pedagógicas de la escolaridad para fortalecer la identidad, la ciudadanía y la preparación para el mundo adulto”.</w:t>
      </w:r>
    </w:p>
    <w:p w:rsidR="0089775E" w:rsidRDefault="007C0533">
      <w:pPr>
        <w:spacing w:before="240" w:after="120"/>
      </w:pPr>
      <w:r>
        <w:t xml:space="preserve">En función a lo expuesto, esta institución representa el espacio fundamental para la educación técnica de los adolescentes y jóvenes </w:t>
      </w:r>
      <w:r>
        <w:t>de la comunidad educativa de Berazategui, es un lugar que busca el reconocimiento de las prácticas juveniles con sentido formativo y las incluye en propuestas pedagógicas que les posibiliten construir proyectos de futuro y acceder al acervo cultural constr</w:t>
      </w:r>
      <w:r>
        <w:t>uido por la humanidad, para lo cual el personal de la escuela ocupa su lugar como responsables de transmitir la cultura a las nuevas generaciones.</w:t>
      </w:r>
    </w:p>
    <w:p w:rsidR="0089775E" w:rsidRDefault="007C0533">
      <w:pPr>
        <w:spacing w:before="240" w:after="120"/>
      </w:pPr>
      <w:r>
        <w:t>En este marco, nuestra escuela desde el año 1966 tiene como lema fundacional formar El mejor técnico dentro d</w:t>
      </w:r>
      <w:r>
        <w:t>el mejor hombre concordante con el objetivo de asumir en el centro de sus preocupaciones el desafío de lograr la inclusión y la permanencia para que todos los jóvenes de nuestra comunidad finalicen la educación obligatoria, asegurando los conocimientos y h</w:t>
      </w:r>
      <w:r>
        <w:t>erramientas necesarias para dar cabal cumplimiento a los tres fines de este nivel de enseñanza: la formación de ciudadanos y ciudadanas, la preparación para el mundo del trabajo y para la continuación de estudios superiores.</w:t>
      </w:r>
    </w:p>
    <w:p w:rsidR="0089775E" w:rsidRDefault="007C0533">
      <w:pPr>
        <w:spacing w:before="240" w:after="120"/>
      </w:pPr>
      <w:r>
        <w:t xml:space="preserve">Para lograr lo antes propuesto </w:t>
      </w:r>
      <w:r>
        <w:t>la escuela cuenta con tres laboratorios de química equipados con mesadas con energía eléctrica, gas y agua. Además, cuentan con balanzas de precisión, microscopios y material de vidrio de lo más variado.</w:t>
      </w:r>
    </w:p>
    <w:p w:rsidR="0089775E" w:rsidRDefault="007C0533">
      <w:pPr>
        <w:spacing w:before="240" w:after="120"/>
      </w:pPr>
      <w:r>
        <w:t>Título que otorga: Técnico Electromecánico.</w:t>
      </w:r>
    </w:p>
    <w:p w:rsidR="0089775E" w:rsidRDefault="007C0533">
      <w:pPr>
        <w:spacing w:before="240" w:after="120"/>
      </w:pPr>
      <w:r>
        <w:t xml:space="preserve"> Materia</w:t>
      </w:r>
      <w:r>
        <w:t xml:space="preserve"> a cubrir: Emprendimiento productivo y desarrollo local </w:t>
      </w:r>
    </w:p>
    <w:p w:rsidR="0089775E" w:rsidRDefault="007C0533">
      <w:pPr>
        <w:spacing w:before="240" w:after="120"/>
      </w:pPr>
      <w:r>
        <w:t>Ciclo Lectivo: 2022</w:t>
      </w:r>
    </w:p>
    <w:p w:rsidR="0089775E" w:rsidRDefault="007C0533">
      <w:pPr>
        <w:spacing w:before="240" w:after="120"/>
      </w:pPr>
      <w:r>
        <w:t xml:space="preserve"> Carga Horaria anual: 72 módulos </w:t>
      </w:r>
    </w:p>
    <w:p w:rsidR="0089775E" w:rsidRDefault="007C0533">
      <w:pPr>
        <w:spacing w:before="240" w:after="120"/>
      </w:pPr>
      <w:r>
        <w:t>Carga Horaria semanal: 2 módulos</w:t>
      </w:r>
    </w:p>
    <w:p w:rsidR="0089775E" w:rsidRDefault="007C0533">
      <w:pPr>
        <w:rPr>
          <w:b/>
        </w:rPr>
      </w:pPr>
      <w:bookmarkStart w:id="0" w:name="_GoBack"/>
      <w:bookmarkEnd w:id="0"/>
      <w:r>
        <w:rPr>
          <w:b/>
        </w:rPr>
        <w:t>C</w:t>
      </w:r>
      <w:r>
        <w:rPr>
          <w:b/>
        </w:rPr>
        <w:t xml:space="preserve">ontenidos mínimos de la materia: </w:t>
      </w:r>
    </w:p>
    <w:p w:rsidR="0089775E" w:rsidRDefault="007C0533">
      <w:r>
        <w:t>EMPRENDIMIENTOS PRODUCTIVOS Y DESARROLLO LOCAL</w:t>
      </w:r>
    </w:p>
    <w:p w:rsidR="0089775E" w:rsidRDefault="007C0533">
      <w:r>
        <w:t xml:space="preserve"> Carga Horaria Total: 72 horas reloj anual</w:t>
      </w:r>
    </w:p>
    <w:p w:rsidR="0089775E" w:rsidRDefault="007C0533">
      <w:r>
        <w:t xml:space="preserve"> Contenidos mínimos</w:t>
      </w:r>
    </w:p>
    <w:p w:rsidR="0089775E" w:rsidRDefault="007C053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i/>
          <w:color w:val="000000"/>
        </w:rPr>
      </w:pPr>
      <w:r>
        <w:rPr>
          <w:color w:val="000000"/>
        </w:rPr>
        <w:lastRenderedPageBreak/>
        <w:t xml:space="preserve"> Teorías del </w:t>
      </w:r>
      <w:proofErr w:type="spellStart"/>
      <w:r>
        <w:rPr>
          <w:color w:val="000000"/>
        </w:rPr>
        <w:t>Emprendedorismo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Emprendedorismo</w:t>
      </w:r>
      <w:proofErr w:type="spellEnd"/>
      <w:r>
        <w:rPr>
          <w:color w:val="000000"/>
        </w:rPr>
        <w:t xml:space="preserve"> social, cultural y tecnológico. </w:t>
      </w:r>
      <w:proofErr w:type="spellStart"/>
      <w:r>
        <w:rPr>
          <w:color w:val="000000"/>
        </w:rPr>
        <w:t>Empren</w:t>
      </w:r>
      <w:r>
        <w:rPr>
          <w:color w:val="000000"/>
        </w:rPr>
        <w:t>dedorismo</w:t>
      </w:r>
      <w:proofErr w:type="spellEnd"/>
      <w:r>
        <w:rPr>
          <w:color w:val="000000"/>
        </w:rPr>
        <w:t xml:space="preserve"> y Desarrollo Local. Emprendimientos Familiares. Nociones de Derecho para Emprendedores. Finanzas para Emprendedores. Marketing. Calidad en la Gestión de emprendimientos. Técnicas de Comunicación. Actitud Emprendedora. Laboratorio de ideas y oport</w:t>
      </w:r>
      <w:r>
        <w:rPr>
          <w:color w:val="000000"/>
        </w:rPr>
        <w:t>unidades. Planeamiento de emprendimientos sociales y culturales. Planeamiento de negocios para emprendedores. Incubadoras: Social; Cultural y Tecnológica. El Desarrollo en una etapa post-neoliberal. Desarrollo local y territorio: clúster, cadenas de valor,</w:t>
      </w:r>
      <w:r>
        <w:rPr>
          <w:color w:val="000000"/>
        </w:rPr>
        <w:t xml:space="preserve"> locales y regionales. Polos tecnológicos. La promoción del desarrollo económico local, estrategias y herramientas: la planificación estratégica participativa, las agencias de desarrollo, las incubadoras de empresas y los </w:t>
      </w:r>
      <w:proofErr w:type="spellStart"/>
      <w:r>
        <w:rPr>
          <w:color w:val="000000"/>
        </w:rPr>
        <w:t>microemprendimientos</w:t>
      </w:r>
      <w:proofErr w:type="spellEnd"/>
      <w:r>
        <w:rPr>
          <w:color w:val="000000"/>
        </w:rPr>
        <w:t>. Desarrollo r</w:t>
      </w:r>
      <w:r>
        <w:rPr>
          <w:color w:val="000000"/>
        </w:rPr>
        <w:t xml:space="preserve">ural, sustentabilidad del modelo y cuestiones ambientales. Cooperación y </w:t>
      </w:r>
      <w:proofErr w:type="spellStart"/>
      <w:r>
        <w:rPr>
          <w:color w:val="000000"/>
        </w:rPr>
        <w:t>asociativismo</w:t>
      </w:r>
      <w:proofErr w:type="spellEnd"/>
      <w:r>
        <w:rPr>
          <w:color w:val="000000"/>
        </w:rPr>
        <w:t xml:space="preserve"> intermunicipal, micro regiones y desarrollo regional. El análisis de casos y la evaluación de experiencias. </w:t>
      </w:r>
    </w:p>
    <w:p w:rsidR="0089775E" w:rsidRDefault="007C053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Objetivos:</w:t>
      </w:r>
    </w:p>
    <w:p w:rsidR="0089775E" w:rsidRDefault="007C0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Comprender el proceso de la innovación y su impacto en la competitividad de las empresas, de las regiones y de la sociedad en general.</w:t>
      </w:r>
    </w:p>
    <w:p w:rsidR="0089775E" w:rsidRDefault="007C0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conocer las distintas formas de llevar las innovaciones al mercado.</w:t>
      </w:r>
    </w:p>
    <w:p w:rsidR="0089775E" w:rsidRDefault="007C0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comprender el emprendedor ismo como un proceso para l</w:t>
      </w:r>
      <w:r>
        <w:rPr>
          <w:rFonts w:ascii="Arial" w:eastAsia="Arial" w:hAnsi="Arial" w:cs="Arial"/>
          <w:color w:val="000000"/>
        </w:rPr>
        <w:t>levar adelante ideas de negocio</w:t>
      </w:r>
    </w:p>
    <w:p w:rsidR="0089775E" w:rsidRDefault="007C05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Conocer las diferentes etapas del proceso del </w:t>
      </w:r>
      <w:proofErr w:type="spellStart"/>
      <w:r>
        <w:rPr>
          <w:rFonts w:ascii="Arial" w:eastAsia="Arial" w:hAnsi="Arial" w:cs="Arial"/>
          <w:color w:val="000000"/>
        </w:rPr>
        <w:t>emprendedorismo</w:t>
      </w:r>
      <w:proofErr w:type="spellEnd"/>
    </w:p>
    <w:p w:rsidR="0089775E" w:rsidRDefault="008977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:rsidR="0089775E" w:rsidRDefault="007C05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Capacidades profesionales:</w:t>
      </w:r>
    </w:p>
    <w:p w:rsidR="0089775E" w:rsidRDefault="008977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</w:rPr>
      </w:pPr>
    </w:p>
    <w:p w:rsidR="0089775E" w:rsidRDefault="007C0533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val="es-AR"/>
        </w:rPr>
        <w:drawing>
          <wp:inline distT="0" distB="0" distL="0" distR="0">
            <wp:extent cx="5610225" cy="13906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775E" w:rsidRDefault="007C0533">
      <w:pPr>
        <w:spacing w:before="240" w:after="120"/>
        <w:rPr>
          <w:b/>
        </w:rPr>
      </w:pPr>
      <w:r>
        <w:rPr>
          <w:b/>
        </w:rPr>
        <w:t>Perfil del docente:</w:t>
      </w:r>
    </w:p>
    <w:p w:rsidR="0089775E" w:rsidRDefault="007C0533">
      <w:pPr>
        <w:spacing w:before="240" w:after="120"/>
      </w:pPr>
      <w:r>
        <w:t>∙</w:t>
      </w:r>
      <w:r>
        <w:t xml:space="preserve"> Formación de grado, títulos, certificados, cursos que correspondan a la especialidad. </w:t>
      </w:r>
    </w:p>
    <w:p w:rsidR="0089775E" w:rsidRDefault="007C0533">
      <w:pPr>
        <w:spacing w:before="240" w:after="120"/>
      </w:pPr>
      <w:r>
        <w:t>∙</w:t>
      </w:r>
      <w:r>
        <w:t xml:space="preserve"> Antecedentes laborales que correspondan con la tecnicatura. </w:t>
      </w:r>
    </w:p>
    <w:p w:rsidR="0089775E" w:rsidRDefault="007C0533">
      <w:pPr>
        <w:spacing w:before="240" w:after="120"/>
      </w:pPr>
      <w:r>
        <w:t>∙</w:t>
      </w:r>
      <w:r>
        <w:t xml:space="preserve"> Conocimiento de las características de los entornos formativos institucionales </w:t>
      </w:r>
    </w:p>
    <w:p w:rsidR="0089775E" w:rsidRDefault="007C0533">
      <w:pPr>
        <w:spacing w:before="240" w:after="120"/>
      </w:pPr>
      <w:r>
        <w:t>∙</w:t>
      </w:r>
      <w:r>
        <w:t xml:space="preserve"> Conocimiento de la normativa vigente: 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</w:pPr>
      <w:r>
        <w:rPr>
          <w:color w:val="000000"/>
        </w:rPr>
        <w:lastRenderedPageBreak/>
        <w:t xml:space="preserve">L.E.N. 26.206                  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L.E.T.P. 26.058 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Res 15/07                        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Resolución 112/13. 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Ley Provincial 12507     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Decreto 339/00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Resolución 2947/99    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Decreto presidencial 1374/11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Resolución 5250/00 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Resolución 13255/97 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Resolución 3828/09                     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Resolución 88/09 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Resoluc</w:t>
      </w:r>
      <w:r>
        <w:rPr>
          <w:color w:val="000000"/>
        </w:rPr>
        <w:t xml:space="preserve">ión 587/10                        </w:t>
      </w:r>
    </w:p>
    <w:p w:rsidR="0089775E" w:rsidRDefault="007C0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Resolución 1480/11</w:t>
      </w:r>
    </w:p>
    <w:p w:rsidR="0089775E" w:rsidRDefault="007C0533">
      <w:pPr>
        <w:spacing w:before="240" w:after="120"/>
      </w:pPr>
      <w:r>
        <w:t>Bibliografía del docente y para el alumno:</w:t>
      </w:r>
    </w:p>
    <w:p w:rsidR="0089775E" w:rsidRDefault="007C0533">
      <w:pPr>
        <w:spacing w:before="240" w:after="120"/>
      </w:pPr>
      <w:r>
        <w:t>-</w:t>
      </w:r>
      <w:proofErr w:type="spellStart"/>
      <w:r>
        <w:t>Borello</w:t>
      </w:r>
      <w:proofErr w:type="spellEnd"/>
      <w:r>
        <w:t>, A. (2000)-. El plan de negocios. Colombia. Mc Graw Hill</w:t>
      </w:r>
    </w:p>
    <w:p w:rsidR="0089775E" w:rsidRDefault="007C0533">
      <w:pPr>
        <w:spacing w:before="240" w:after="120"/>
      </w:pPr>
      <w:r>
        <w:t xml:space="preserve">-Champi, P. y </w:t>
      </w:r>
      <w:proofErr w:type="spellStart"/>
      <w:r>
        <w:t>Brie</w:t>
      </w:r>
      <w:proofErr w:type="spellEnd"/>
      <w:r>
        <w:t>, S. (2011). Manual del emprendedor innovador. UTN FRBA.</w:t>
      </w:r>
    </w:p>
    <w:p w:rsidR="0089775E" w:rsidRDefault="007C0533">
      <w:pPr>
        <w:spacing w:before="240" w:after="120"/>
        <w:rPr>
          <w:rFonts w:ascii="Arial" w:eastAsia="Arial" w:hAnsi="Arial" w:cs="Arial"/>
        </w:rPr>
      </w:pPr>
      <w:r>
        <w:t>-Unión europea (20</w:t>
      </w:r>
      <w:r>
        <w:t xml:space="preserve">25). Manual del emprendedor </w:t>
      </w:r>
    </w:p>
    <w:sectPr w:rsidR="0089775E">
      <w:headerReference w:type="default" r:id="rId10"/>
      <w:pgSz w:w="12240" w:h="15840"/>
      <w:pgMar w:top="1140" w:right="1701" w:bottom="1417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33" w:rsidRDefault="007C0533">
      <w:pPr>
        <w:spacing w:after="0" w:line="240" w:lineRule="auto"/>
      </w:pPr>
      <w:r>
        <w:separator/>
      </w:r>
    </w:p>
  </w:endnote>
  <w:endnote w:type="continuationSeparator" w:id="0">
    <w:p w:rsidR="007C0533" w:rsidRDefault="007C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33" w:rsidRDefault="007C0533">
      <w:pPr>
        <w:spacing w:after="0" w:line="240" w:lineRule="auto"/>
      </w:pPr>
      <w:r>
        <w:separator/>
      </w:r>
    </w:p>
  </w:footnote>
  <w:footnote w:type="continuationSeparator" w:id="0">
    <w:p w:rsidR="007C0533" w:rsidRDefault="007C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5E" w:rsidRDefault="007C05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612130" cy="1330339"/>
          <wp:effectExtent l="0" t="0" r="0" b="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3303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2BC"/>
    <w:multiLevelType w:val="multilevel"/>
    <w:tmpl w:val="1EEEE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2200E1"/>
    <w:multiLevelType w:val="multilevel"/>
    <w:tmpl w:val="BFDA7E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DF4678"/>
    <w:multiLevelType w:val="multilevel"/>
    <w:tmpl w:val="4D4821DA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5E"/>
    <w:rsid w:val="00373728"/>
    <w:rsid w:val="007C0533"/>
    <w:rsid w:val="008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13024-2AD5-4B54-8EC9-EA947406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C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00E9"/>
  </w:style>
  <w:style w:type="paragraph" w:styleId="Piedepgina">
    <w:name w:val="footer"/>
    <w:basedOn w:val="Normal"/>
    <w:link w:val="PiedepginaCar"/>
    <w:unhideWhenUsed/>
    <w:rsid w:val="006C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00E9"/>
  </w:style>
  <w:style w:type="paragraph" w:styleId="Prrafodelista">
    <w:name w:val="List Paragraph"/>
    <w:basedOn w:val="Normal"/>
    <w:qFormat/>
    <w:rsid w:val="00E179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879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90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link w:val="HTMLconformatoprevio"/>
    <w:rsid w:val="00390F23"/>
    <w:rPr>
      <w:rFonts w:ascii="Courier New" w:eastAsia="Times New Roman" w:hAnsi="Courier New" w:cs="Courier New"/>
      <w:sz w:val="20"/>
      <w:szCs w:val="20"/>
      <w:lang w:val="es-ES" w:eastAsia="ar-SA"/>
    </w:rPr>
  </w:style>
  <w:style w:type="paragraph" w:customStyle="1" w:styleId="Textoindependiente23">
    <w:name w:val="Texto independiente 23"/>
    <w:basedOn w:val="Normal"/>
    <w:rsid w:val="00390F23"/>
    <w:pPr>
      <w:spacing w:after="0" w:line="240" w:lineRule="auto"/>
      <w:jc w:val="both"/>
    </w:pPr>
    <w:rPr>
      <w:rFonts w:ascii="Arial" w:eastAsia="Times New Roman" w:hAnsi="Arial" w:cs="Times New Roman"/>
      <w:spacing w:val="10"/>
      <w:szCs w:val="20"/>
      <w:lang w:val="es-MX" w:eastAsia="ar-SA"/>
    </w:rPr>
  </w:style>
  <w:style w:type="table" w:styleId="Tablaconcuadrcula">
    <w:name w:val="Table Grid"/>
    <w:basedOn w:val="Tablanormal"/>
    <w:uiPriority w:val="59"/>
    <w:unhideWhenUsed/>
    <w:rsid w:val="00EE1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u2wG0dMDvQplT6QMNX2u9WY7hA==">AMUW2mUV+fEKKbviClGSJRRKZyUlGCqe3NuatzEhdTLtZVEb+4XiRUFDpNrBH2/pUYn8KBKm++CREeIlRyUk7QhxDhbj/oYGMseCZLkU49Sce+ESjIE3FTo8S+gl+JMQvnBMZPhdgVP/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938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dcterms:created xsi:type="dcterms:W3CDTF">2022-03-13T23:49:00Z</dcterms:created>
  <dcterms:modified xsi:type="dcterms:W3CDTF">2022-04-12T18:10:00Z</dcterms:modified>
</cp:coreProperties>
</file>